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5320665</wp:posOffset>
                </wp:positionH>
                <wp:positionV relativeFrom="page">
                  <wp:posOffset>285750</wp:posOffset>
                </wp:positionV>
                <wp:extent cx="367030" cy="9956165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030" cy="9956165"/>
                          <a:chOff x="5161450" y="0"/>
                          <a:chExt cx="369100" cy="7560000"/>
                        </a:xfrm>
                      </wpg:grpSpPr>
                      <wpg:grpSp>
                        <wpg:cNvGrpSpPr/>
                        <wpg:cNvPr id="1479324321" name="Grupo 1479324321"/>
                        <wpg:grpSpPr>
                          <a:xfrm>
                            <a:off x="5162485" y="0"/>
                            <a:ext cx="367030" cy="7560000"/>
                            <a:chOff x="5148175" y="0"/>
                            <a:chExt cx="395650" cy="7560000"/>
                          </a:xfrm>
                        </wpg:grpSpPr>
                        <wps:wsp>
                          <wps:cNvSpPr/>
                          <wps:cNvPr id="1277552543" name="Rectángulo 1277552543"/>
                          <wps:spPr>
                            <a:xfrm>
                              <a:off x="5148175" y="0"/>
                              <a:ext cx="3956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2BD9" w:rsidDel="00000000" w:rsidP="00000000" w:rsidRDefault="00C02BD9" w:rsidRPr="00000000" w14:paraId="6F57477A" w14:textId="777777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cNvPr id="1378072012" name="Grupo 1378072012"/>
                          <wpg:grpSpPr>
                            <a:xfrm>
                              <a:off x="5162485" y="0"/>
                              <a:ext cx="367030" cy="7560000"/>
                              <a:chOff x="0" y="0"/>
                              <a:chExt cx="228600" cy="9144000"/>
                            </a:xfrm>
                          </wpg:grpSpPr>
                          <wps:wsp>
                            <wps:cNvSpPr/>
                            <wps:cNvPr id="761818121" name="Rectángulo 761818121"/>
                            <wps:spPr>
                              <a:xfrm>
                                <a:off x="0" y="0"/>
                                <a:ext cx="228600" cy="9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02BD9" w:rsidDel="00000000" w:rsidP="00000000" w:rsidRDefault="00C02BD9" w:rsidRPr="00000000" w14:paraId="6CCF7CA1" w14:textId="777777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76447681" name="Rectángulo 976447681"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cap="flat" cmpd="sng" w="28575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C02BD9" w:rsidDel="00000000" w:rsidP="00000000" w:rsidRDefault="00C02BD9" w:rsidRPr="00000000" w14:paraId="1B62905B" w14:textId="777777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17734151" name="Rectángulo 1717734151"/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02BD9" w:rsidDel="00000000" w:rsidP="00000000" w:rsidRDefault="00C02BD9" w:rsidRPr="00000000" w14:paraId="131DD0F1" w14:textId="777777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5320665</wp:posOffset>
                </wp:positionH>
                <wp:positionV relativeFrom="page">
                  <wp:posOffset>285750</wp:posOffset>
                </wp:positionV>
                <wp:extent cx="367030" cy="995616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030" cy="9956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08" w:hanging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08" w:hanging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08" w:hanging="708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2682239</wp:posOffset>
                </wp:positionH>
                <wp:positionV relativeFrom="paragraph">
                  <wp:posOffset>276860</wp:posOffset>
                </wp:positionV>
                <wp:extent cx="3257550" cy="600075"/>
                <wp:effectExtent b="28575" l="0" r="1905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C02BD9" w:rsidDel="00000000" w:rsidP="00000000" w:rsidRDefault="00000000" w:rsidRPr="00E81ED5" w14:paraId="717D078E" w14:textId="77777777">
                            <w:pPr>
                              <w:spacing w:after="0" w:line="240" w:lineRule="auto"/>
                              <w:ind w:left="-70" w:hanging="70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Del="00000000" w:rsidR="00000000" w:rsidRPr="00E81ED5">
                              <w:rPr>
                                <w:rFonts w:ascii="Arial" w:cs="Arial" w:eastAsia="Arial" w:hAnsi="Arial"/>
                                <w:b w:val="1"/>
                                <w:color w:val="000000"/>
                                <w:sz w:val="20"/>
                                <w:szCs w:val="20"/>
                              </w:rPr>
                              <w:t xml:space="preserve">Instituto Superior de Educación Física </w:t>
                            </w:r>
                            <w:proofErr w:type="spellStart"/>
                            <w:r w:rsidDel="00000000" w:rsidR="00000000" w:rsidRPr="00E81ED5">
                              <w:rPr>
                                <w:rFonts w:ascii="Arial" w:cs="Arial" w:eastAsia="Arial" w:hAnsi="Arial"/>
                                <w:b w:val="1"/>
                                <w:color w:val="000000"/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 w:rsidDel="00000000" w:rsidR="00000000" w:rsidRPr="00E81ED5">
                              <w:rPr>
                                <w:rFonts w:ascii="Arial" w:cs="Arial" w:eastAsia="Arial" w:hAnsi="Arial"/>
                                <w:b w:val="1"/>
                                <w:color w:val="000000"/>
                                <w:sz w:val="20"/>
                                <w:szCs w:val="20"/>
                              </w:rPr>
                              <w:t xml:space="preserve"> 27</w:t>
                            </w:r>
                          </w:p>
                          <w:p w:rsidR="00C02BD9" w:rsidDel="00000000" w:rsidP="00000000" w:rsidRDefault="00000000" w:rsidRPr="00E81ED5" w14:paraId="6497C5E6" w14:textId="77777777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Del="00000000" w:rsidR="00000000" w:rsidRPr="00E81ED5">
                              <w:rPr>
                                <w:rFonts w:ascii="Arial" w:cs="Arial" w:eastAsia="Arial" w:hAnsi="Arial"/>
                                <w:b w:val="1"/>
                                <w:color w:val="000000"/>
                                <w:sz w:val="20"/>
                                <w:szCs w:val="20"/>
                              </w:rPr>
                              <w:t>“César S. Vásquez”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2682239</wp:posOffset>
                </wp:positionH>
                <wp:positionV relativeFrom="paragraph">
                  <wp:posOffset>276860</wp:posOffset>
                </wp:positionV>
                <wp:extent cx="3276600" cy="628650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6600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ind w:left="708" w:hanging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08" w:hanging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0"/>
        </w:rPr>
        <w:t xml:space="preserve">PROGRAMA DE EXAMEN</w:t>
      </w:r>
    </w:p>
    <w:p w:rsidR="00000000" w:rsidDel="00000000" w:rsidP="00000000" w:rsidRDefault="00000000" w:rsidRPr="00000000" w14:paraId="00000009">
      <w:pPr>
        <w:jc w:val="center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PROFESORADO DE EDUCACIÓN FÍSICA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08" w:hanging="708"/>
        <w:rPr>
          <w:rFonts w:ascii="Arial" w:cs="Arial" w:eastAsia="Arial" w:hAnsi="Arial"/>
          <w:b w:val="1"/>
          <w:color w:val="000000"/>
          <w:sz w:val="32"/>
          <w:szCs w:val="3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08" w:hanging="708"/>
        <w:rPr>
          <w:rFonts w:ascii="Arial" w:cs="Arial" w:eastAsia="Arial" w:hAnsi="Arial"/>
          <w:b w:val="1"/>
          <w:color w:val="000000"/>
          <w:sz w:val="32"/>
          <w:szCs w:val="3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08" w:hanging="708"/>
        <w:jc w:val="center"/>
        <w:rPr>
          <w:rFonts w:ascii="Arial" w:cs="Arial" w:eastAsia="Arial" w:hAnsi="Arial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highlight w:val="white"/>
          <w:rtl w:val="0"/>
        </w:rPr>
        <w:t xml:space="preserve">FORMACION MOTRIZ 1</w:t>
      </w:r>
    </w:p>
    <w:p w:rsidR="00000000" w:rsidDel="00000000" w:rsidP="00000000" w:rsidRDefault="00000000" w:rsidRPr="00000000" w14:paraId="0000000D">
      <w:pPr>
        <w:ind w:left="708" w:hanging="708"/>
        <w:jc w:val="center"/>
        <w:rPr>
          <w:rFonts w:ascii="Arial" w:cs="Arial" w:eastAsia="Arial" w:hAnsi="Arial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highlight w:val="white"/>
          <w:rtl w:val="0"/>
        </w:rPr>
        <w:t xml:space="preserve">EDUCACIÓN FÍSICA INFANTIL 1</w:t>
      </w:r>
    </w:p>
    <w:p w:rsidR="00000000" w:rsidDel="00000000" w:rsidP="00000000" w:rsidRDefault="00000000" w:rsidRPr="00000000" w14:paraId="0000000E">
      <w:pPr>
        <w:ind w:left="708" w:hanging="708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08" w:hanging="708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DICIEMBRE 2024 - AGOSTO 2025</w:t>
      </w:r>
    </w:p>
    <w:p w:rsidR="00000000" w:rsidDel="00000000" w:rsidP="00000000" w:rsidRDefault="00000000" w:rsidRPr="00000000" w14:paraId="00000010">
      <w:pPr>
        <w:ind w:left="708" w:hanging="708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CAMPO DE LA FORMACIÓN: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 ORIENTADA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AÑO DE LA CARRERA EN QUE SE ENCUENTRA: 1°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EQUIPO DOCENTE: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70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Prof. Gargatagli, Ma Cecilia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70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Prof. Qüesta Silvina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tabs>
          <w:tab w:val="left" w:leader="none" w:pos="482"/>
          <w:tab w:val="left" w:leader="none" w:pos="484"/>
        </w:tabs>
        <w:spacing w:after="0" w:line="240" w:lineRule="auto"/>
        <w:ind w:left="2700" w:hanging="360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Prof. Allende Mariano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24"/>
          <w:szCs w:val="24"/>
        </w:rPr>
        <w:sectPr>
          <w:headerReference r:id="rId8" w:type="first"/>
          <w:footerReference r:id="rId9" w:type="default"/>
          <w:pgSz w:h="16838" w:w="11906" w:orient="portrait"/>
          <w:pgMar w:bottom="1418" w:top="1418" w:left="1701" w:right="851" w:header="709" w:footer="709"/>
          <w:pgNumType w:start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="240" w:lineRule="auto"/>
        <w:rPr>
          <w:rFonts w:ascii="Arial" w:cs="Arial" w:eastAsia="Arial" w:hAnsi="Arial"/>
          <w:b w:val="1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CONTENIDOS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240" w:line="360" w:lineRule="auto"/>
        <w:ind w:right="-539" w:hanging="283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Unidad 1: “DESARROLLO PERCEPTIVO MOTOR Y FORMACIÓN MOTRIZ DE 0 A 8 AÑOS”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before="240" w:line="360" w:lineRule="auto"/>
        <w:ind w:left="0" w:hanging="283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Educación Física Infantil como proceso en el desarrollo de las infancias. Su incidencia en la formación motora.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line="360" w:lineRule="auto"/>
        <w:ind w:left="0" w:hanging="283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Elementos constituyentes de la motricidad infantil</w:t>
      </w:r>
      <w:r w:rsidDel="00000000" w:rsidR="00000000" w:rsidRPr="00000000">
        <w:rPr>
          <w:rFonts w:ascii="Arial" w:cs="Arial" w:eastAsia="Arial" w:hAnsi="Arial"/>
          <w:rtl w:val="0"/>
        </w:rPr>
        <w:t xml:space="preserve">: Motricidad y Corporeidad. Esquema corporal e imagen corporal.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line="360" w:lineRule="auto"/>
        <w:ind w:left="0" w:hanging="283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La organización perceptiva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 espacialidad</w:t>
      </w:r>
      <w:r w:rsidDel="00000000" w:rsidR="00000000" w:rsidRPr="00000000">
        <w:rPr>
          <w:rFonts w:ascii="Arial" w:cs="Arial" w:eastAsia="Arial" w:hAnsi="Arial"/>
          <w:rtl w:val="0"/>
        </w:rPr>
        <w:t xml:space="preserve">, sensaciones y percepción del entorno, los objetos y los demás: los analizadores perceptivos. La organización espacial en el niño de 0 a 8 años. Relaciones topológicas y proyectivas, la lateralidad.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 temporalidad</w:t>
      </w:r>
      <w:r w:rsidDel="00000000" w:rsidR="00000000" w:rsidRPr="00000000">
        <w:rPr>
          <w:rFonts w:ascii="Arial" w:cs="Arial" w:eastAsia="Arial" w:hAnsi="Arial"/>
          <w:rtl w:val="0"/>
        </w:rPr>
        <w:t xml:space="preserve">: estructuración y organización temporal en el niño de 0 a 8 años, nociones temporales, de orden, duración, velocidad. Elementos rítmicos.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240" w:line="360" w:lineRule="auto"/>
        <w:ind w:hanging="283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Unidad 2: “EL APRENDIZAJE MOTOR Y EL PROCESO DE FORMACIÓN MOTRIZ”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before="240" w:line="360" w:lineRule="auto"/>
        <w:ind w:left="0" w:hanging="283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Habilidades y destrezas motrices procesos de adquisición y el desarrollo de la motricidad básica a la específica.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Habilidades Motrices</w:t>
      </w:r>
      <w:r w:rsidDel="00000000" w:rsidR="00000000" w:rsidRPr="00000000">
        <w:rPr>
          <w:rFonts w:ascii="Arial" w:cs="Arial" w:eastAsia="Arial" w:hAnsi="Arial"/>
          <w:rtl w:val="0"/>
        </w:rPr>
        <w:t xml:space="preserve"> básicas y específicas.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line="360" w:lineRule="auto"/>
        <w:ind w:left="0" w:hanging="283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Capacidades Motoras: capacidades coordinativas</w:t>
      </w:r>
      <w:r w:rsidDel="00000000" w:rsidR="00000000" w:rsidRPr="00000000">
        <w:rPr>
          <w:rFonts w:ascii="Arial" w:cs="Arial" w:eastAsia="Arial" w:hAnsi="Arial"/>
          <w:rtl w:val="0"/>
        </w:rPr>
        <w:t xml:space="preserve"> y su evolución de 0 a 8 años. Propuestas de intervención educativa.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240" w:line="360" w:lineRule="auto"/>
        <w:ind w:hanging="283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Unidad 3: </w:t>
      </w:r>
      <w:r w:rsidDel="00000000" w:rsidR="00000000" w:rsidRPr="00000000">
        <w:rPr>
          <w:rFonts w:ascii="Arial" w:cs="Arial" w:eastAsia="Arial" w:hAnsi="Arial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EL SUJETO EN MOVIMIENTO, UNA MIRADA DESDE LA EDUCACIÓN FÍSICA INFANTIL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before="240" w:line="360" w:lineRule="auto"/>
        <w:ind w:left="0" w:hanging="283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Oficio docente. Disponibilidad corporal para la acción. Estrategias posibilitadoras y obstaculizadoras.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Los niños y las niñas de la Educación Física Infantil. Estadios: características.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line="360" w:lineRule="auto"/>
        <w:ind w:left="0" w:hanging="283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Proceso de desarrollo motor</w:t>
      </w:r>
      <w:r w:rsidDel="00000000" w:rsidR="00000000" w:rsidRPr="00000000">
        <w:rPr>
          <w:rFonts w:ascii="Arial" w:cs="Arial" w:eastAsia="Arial" w:hAnsi="Arial"/>
          <w:rtl w:val="0"/>
        </w:rPr>
        <w:t xml:space="preserve">. Importancia de su estudio y organización progresiva. Desarrollo perceptivo- motor del niño de 0 a 8 años. Perfil motor, lúdico, de lenguaje y social del niño en esta franja etaria.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240" w:line="360" w:lineRule="auto"/>
        <w:ind w:hanging="283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Unidad 4: “JUEGO MOTOR Y FORMACION MOTRIZ”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before="240" w:line="360" w:lineRule="auto"/>
        <w:ind w:left="0" w:hanging="283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 Juego y el Jugar</w:t>
      </w:r>
      <w:r w:rsidDel="00000000" w:rsidR="00000000" w:rsidRPr="00000000">
        <w:rPr>
          <w:rFonts w:ascii="Arial" w:cs="Arial" w:eastAsia="Arial" w:hAnsi="Arial"/>
          <w:rtl w:val="0"/>
        </w:rPr>
        <w:t xml:space="preserve">. Concepto. Juego y formas jugadas. El Juego y sus implicancias en la formación integral de la personalidad. Movimiento, aprendizaje y juego.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line="360" w:lineRule="auto"/>
        <w:ind w:left="0" w:hanging="283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evolución de la actividad lúdica. La importancia de los juegos infantiles. El juego en el niño de 0 a 8 años.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line="360" w:lineRule="auto"/>
        <w:ind w:left="0" w:hanging="283"/>
        <w:jc w:val="both"/>
        <w:rPr>
          <w:rFonts w:ascii="Courier New" w:cs="Courier New" w:eastAsia="Courier New" w:hAnsi="Courier New"/>
        </w:rPr>
        <w:sectPr>
          <w:type w:val="nextPage"/>
          <w:pgSz w:h="16838" w:w="11906" w:orient="portrait"/>
          <w:pgMar w:bottom="280" w:top="1360" w:left="1340" w:right="1340" w:header="720" w:footer="720"/>
        </w:sect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Juego motor y su inserción pedagógica en el jardín maternal y 1ra infancia.</w:t>
      </w:r>
      <w:r w:rsidDel="00000000" w:rsidR="00000000" w:rsidRPr="00000000">
        <w:rPr>
          <w:rFonts w:ascii="Arial" w:cs="Arial" w:eastAsia="Arial" w:hAnsi="Arial"/>
          <w:rtl w:val="0"/>
        </w:rPr>
        <w:t xml:space="preserve"> Espacios de juego. Los materiales para jugar, Propuestas de intervención, consideraciones didácticas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-283" w:hanging="134.99999999999997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BIBLIOGRAFÍA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line="360" w:lineRule="auto"/>
        <w:ind w:left="-283" w:hanging="134.99999999999997"/>
        <w:jc w:val="both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Instituto de Recreación y Deportes. (2003) “Guía curricular para la Educación Física”. Módulo 01 Referente conceptual.  Capitulo 4: Contenidos de la educación física para el preescolar y la educación básica. Disponible en 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sz w:val="21"/>
            <w:szCs w:val="21"/>
            <w:u w:val="single"/>
            <w:rtl w:val="0"/>
          </w:rPr>
          <w:t xml:space="preserve">https://drive.google.com/file/d/1rABpNFfe8daL1IX3UiA7bopMoT6tksRL/view?usp=sharing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line="360" w:lineRule="auto"/>
        <w:ind w:left="-283" w:hanging="134.99999999999997"/>
        <w:jc w:val="both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Habilidades Motoras. Material de cátedra. Disponible en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1"/>
            <w:szCs w:val="21"/>
            <w:u w:val="single"/>
            <w:rtl w:val="0"/>
          </w:rPr>
          <w:t xml:space="preserve">https://drive.google.com/file/d/1TbCpN5x8X1UHaDJ8jPiPM0TrNavKuhHD/view?usp=sharingç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line="360" w:lineRule="auto"/>
        <w:ind w:left="-283" w:hanging="134.99999999999997"/>
        <w:jc w:val="both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La organización perceptivo motor: Gómez, R. (2007) LA ENSEÑANZA DE LA EDUCACIÓN FÍSICA. Cap 7. El ajuste motor en el niño. Edit Stadium. Disponible en: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1"/>
            <w:szCs w:val="21"/>
            <w:u w:val="single"/>
            <w:rtl w:val="0"/>
          </w:rPr>
          <w:t xml:space="preserve">https://drive.google.com/file/d/1rpFhvjPKkk_msaYIw9wPTYZ5mMHGHKoG/view?usp=sharing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line="360" w:lineRule="auto"/>
        <w:ind w:left="-283" w:hanging="134.99999999999997"/>
        <w:jc w:val="both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Benjumea Pérez Margarita María. (2010) La Motricidad como dimensión humana - un abordaje transdisciplinar- Página 132 a 143: Capítulo “La motricidad en Educación Física” Colección Léeme. Instituto Internacional del Saber. España-Colombia. Disponible en: </w:t>
      </w:r>
      <w:hyperlink r:id="rId13">
        <w:r w:rsidDel="00000000" w:rsidR="00000000" w:rsidRPr="00000000">
          <w:rPr>
            <w:rFonts w:ascii="Arial" w:cs="Arial" w:eastAsia="Arial" w:hAnsi="Arial"/>
            <w:color w:val="1155cc"/>
            <w:sz w:val="21"/>
            <w:szCs w:val="21"/>
            <w:u w:val="single"/>
            <w:rtl w:val="0"/>
          </w:rPr>
          <w:t xml:space="preserve">https://drive.google.com/file/d/1aA8IRJsfGP5yZ-nxnk8pZ3jCNCcR0PX-/view?usp=sharing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line="360" w:lineRule="auto"/>
        <w:ind w:left="-283" w:hanging="134.99999999999997"/>
        <w:jc w:val="both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Motricidad y corporeidad. MARTA CASTAÑER BALCELLS, OLEGUER CAMERINO FOGUET . “La Educación Física en la Enseñanza Primaria”. Disponible en </w:t>
      </w:r>
      <w:hyperlink r:id="rId14">
        <w:r w:rsidDel="00000000" w:rsidR="00000000" w:rsidRPr="00000000">
          <w:rPr>
            <w:rFonts w:ascii="Arial" w:cs="Arial" w:eastAsia="Arial" w:hAnsi="Arial"/>
            <w:color w:val="1155cc"/>
            <w:sz w:val="21"/>
            <w:szCs w:val="21"/>
            <w:u w:val="single"/>
            <w:rtl w:val="0"/>
          </w:rPr>
          <w:t xml:space="preserve">https://dialnet.unirioja.es/descarga/articulo/4120801.pdf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line="360" w:lineRule="auto"/>
        <w:ind w:left="-283" w:hanging="134.99999999999997"/>
        <w:jc w:val="both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Juego: Torres Santolaria, J.A. (2013). Conceptualización del juego en el ámbito de la Educación Física. EFDeportes.com, Revista Digital. Buenos Aires, Año 17, Nº 177, </w:t>
      </w:r>
      <w:hyperlink r:id="rId15">
        <w:r w:rsidDel="00000000" w:rsidR="00000000" w:rsidRPr="00000000">
          <w:rPr>
            <w:rFonts w:ascii="Arial" w:cs="Arial" w:eastAsia="Arial" w:hAnsi="Arial"/>
            <w:color w:val="0000ff"/>
            <w:sz w:val="21"/>
            <w:szCs w:val="21"/>
            <w:u w:val="single"/>
            <w:rtl w:val="0"/>
          </w:rPr>
          <w:t xml:space="preserve">http://www.efdeportes.com</w:t>
        </w:r>
      </w:hyperlink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Disponible en </w:t>
      </w:r>
      <w:hyperlink r:id="rId16">
        <w:r w:rsidDel="00000000" w:rsidR="00000000" w:rsidRPr="00000000">
          <w:rPr>
            <w:rFonts w:ascii="Arial" w:cs="Arial" w:eastAsia="Arial" w:hAnsi="Arial"/>
            <w:color w:val="1155cc"/>
            <w:sz w:val="21"/>
            <w:szCs w:val="21"/>
            <w:u w:val="single"/>
            <w:rtl w:val="0"/>
          </w:rPr>
          <w:t xml:space="preserve">https://www.efdeportes.com/efd177/conceptualizacion-del-juego-en-educacion-fisica.htm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line="360" w:lineRule="auto"/>
        <w:ind w:left="-283" w:hanging="134.99999999999997"/>
        <w:jc w:val="both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Juego: García Márquez, E y Alarcón Adalid, M. J. (2011). Influencia del juego infantil en el desarrollo y aprendizaje del niño y la niña. EFDeportes.com, Revista Digital. Buenos Aires, Año 15, Nº 153, febrero de 2011. http://www.efdeportes.com/ Disponible en </w:t>
      </w:r>
      <w:hyperlink r:id="rId17">
        <w:r w:rsidDel="00000000" w:rsidR="00000000" w:rsidRPr="00000000">
          <w:rPr>
            <w:rFonts w:ascii="Arial" w:cs="Arial" w:eastAsia="Arial" w:hAnsi="Arial"/>
            <w:color w:val="1155cc"/>
            <w:sz w:val="21"/>
            <w:szCs w:val="21"/>
            <w:u w:val="single"/>
            <w:rtl w:val="0"/>
          </w:rPr>
          <w:t xml:space="preserve">https://www.efdeportes.com/efd153/influencia-del-juego-infantil-en-el-desarrollo.htm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line="360" w:lineRule="auto"/>
        <w:ind w:left="-283" w:hanging="134.99999999999997"/>
        <w:jc w:val="both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Esquema Corporal: Vanessa Cidoncha Falcón. (2009) Importancia del desarrollo del esquema corporal. Disponible en </w:t>
      </w:r>
      <w:hyperlink r:id="rId18">
        <w:r w:rsidDel="00000000" w:rsidR="00000000" w:rsidRPr="00000000">
          <w:rPr>
            <w:rFonts w:ascii="Arial" w:cs="Arial" w:eastAsia="Arial" w:hAnsi="Arial"/>
            <w:color w:val="1155cc"/>
            <w:sz w:val="21"/>
            <w:szCs w:val="21"/>
            <w:u w:val="single"/>
            <w:rtl w:val="0"/>
          </w:rPr>
          <w:t xml:space="preserve">https://www.efdeportes.com/efd128/importancia-del-desarrollo-del-esquema-corporal.htm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line="360" w:lineRule="auto"/>
        <w:ind w:left="-283" w:hanging="134.99999999999997"/>
        <w:jc w:val="both"/>
        <w:rPr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Esquema Corporal “La gesta corporal: el cuerpo en los procesos de comunicación y aprendizaje”. Daniel Calmels. Disponible en </w:t>
      </w:r>
      <w:hyperlink r:id="rId19">
        <w:r w:rsidDel="00000000" w:rsidR="00000000" w:rsidRPr="00000000">
          <w:rPr>
            <w:rFonts w:ascii="Arial" w:cs="Arial" w:eastAsia="Arial" w:hAnsi="Arial"/>
            <w:color w:val="0000ff"/>
            <w:sz w:val="21"/>
            <w:szCs w:val="21"/>
            <w:u w:val="single"/>
            <w:rtl w:val="0"/>
          </w:rPr>
          <w:t xml:space="preserve">http://www.desenvolupa.net/index.php/Ultims-Numeros/Numero-32-2011/La-gesta-corporal-El-cuerpo-en-los-procesos-de-comunicacion-y-aprendizaje-Daniel-Calmels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MODALIDAD DE EXAMEN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Escrito u oral, a criterio de equipo docente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MODALIDAD DE AGRUPAMIENTO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Individual, en parejas o grupos según criterio de cada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CRITERIOS DE EVALUACIÓN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Vinculación/relación de situaciones concretas de EFI (clase, juego, actividad, etc) con y su encuadre conceptual y teórico. </w:t>
      </w:r>
    </w:p>
    <w:p w:rsidR="00000000" w:rsidDel="00000000" w:rsidP="00000000" w:rsidRDefault="00000000" w:rsidRPr="00000000" w14:paraId="0000003E">
      <w:pPr>
        <w:spacing w:after="12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Reconocimiento de diversos autores al abordar los temas desarrollados</w:t>
      </w:r>
    </w:p>
    <w:p w:rsidR="00000000" w:rsidDel="00000000" w:rsidP="00000000" w:rsidRDefault="00000000" w:rsidRPr="00000000" w14:paraId="0000003F">
      <w:pPr>
        <w:spacing w:after="12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Claridad en la narrativa y manejo de los contenidos. Coherencia y cohesión en la redacción escrita  o presentación oral </w:t>
      </w:r>
    </w:p>
    <w:p w:rsidR="00000000" w:rsidDel="00000000" w:rsidP="00000000" w:rsidRDefault="00000000" w:rsidRPr="00000000" w14:paraId="00000040">
      <w:pPr>
        <w:spacing w:after="12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Instrumentos:</w:t>
      </w:r>
      <w:r w:rsidDel="00000000" w:rsidR="00000000" w:rsidRPr="00000000">
        <w:rPr>
          <w:rFonts w:ascii="Arial" w:cs="Arial" w:eastAsia="Arial" w:hAnsi="Arial"/>
          <w:rtl w:val="0"/>
        </w:rPr>
        <w:t xml:space="preserve"> Análisis de situaciones pedagógicas. Contraste de experiencias. Análisis de textos. Mapas conceptuales. Cuestionarios. Análisis de videos. Desarrollo de consignas. Múltiple opción. Formularios. Coloquios. Presentaciones orales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720" w:hanging="36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DEVOLUCIÓN DE EXÁMENES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Los exámenes se corrigen y devuelven a cada estudiante, junto a las libretas. Aquellos que no fueran retirados quedarán en el casillero dispuesto en el pasillo Sur de PB con las libretas y es responsabilidad de cada estudiante. La institución y el equipo docente NO guardan exámenes corregidos ni asumen responsabilidad al respecto luego de las devoluciones.</w:t>
      </w:r>
    </w:p>
    <w:p w:rsidR="00000000" w:rsidDel="00000000" w:rsidP="00000000" w:rsidRDefault="00000000" w:rsidRPr="00000000" w14:paraId="00000043">
      <w:pPr>
        <w:spacing w:after="120" w:before="120" w:line="360" w:lineRule="auto"/>
        <w:ind w:left="7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720" w:firstLine="0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36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8" w:top="1418" w:left="1701" w:right="851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7020"/>
        <w:tab w:val="right" w:leader="none" w:pos="935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  <w:tab/>
      <w:tab/>
      <w:tab/>
      <w:t xml:space="preserve">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3686175</wp:posOffset>
          </wp:positionH>
          <wp:positionV relativeFrom="paragraph">
            <wp:posOffset>200025</wp:posOffset>
          </wp:positionV>
          <wp:extent cx="1343978" cy="1343978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3978" cy="134397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270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34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1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5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3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0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7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46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TbCpN5x8X1UHaDJ8jPiPM0TrNavKuhHD/view?usp=sharing%C3%A7" TargetMode="External"/><Relationship Id="rId10" Type="http://schemas.openxmlformats.org/officeDocument/2006/relationships/hyperlink" Target="https://drive.google.com/file/d/1rABpNFfe8daL1IX3UiA7bopMoT6tksRL/view?usp=sharing" TargetMode="External"/><Relationship Id="rId13" Type="http://schemas.openxmlformats.org/officeDocument/2006/relationships/hyperlink" Target="https://drive.google.com/file/d/1aA8IRJsfGP5yZ-nxnk8pZ3jCNCcR0PX-/view?usp=sharing" TargetMode="External"/><Relationship Id="rId12" Type="http://schemas.openxmlformats.org/officeDocument/2006/relationships/hyperlink" Target="https://drive.google.com/file/d/1rpFhvjPKkk_msaYIw9wPTYZ5mMHGHKoG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5" Type="http://schemas.openxmlformats.org/officeDocument/2006/relationships/hyperlink" Target="http://www.efdeportes.com" TargetMode="External"/><Relationship Id="rId14" Type="http://schemas.openxmlformats.org/officeDocument/2006/relationships/hyperlink" Target="https://dialnet.unirioja.es/descarga/articulo/4120801.pdf" TargetMode="External"/><Relationship Id="rId17" Type="http://schemas.openxmlformats.org/officeDocument/2006/relationships/hyperlink" Target="https://www.efdeportes.com/efd153/influencia-del-juego-infantil-en-el-desarrollo.htm" TargetMode="External"/><Relationship Id="rId16" Type="http://schemas.openxmlformats.org/officeDocument/2006/relationships/hyperlink" Target="https://www.efdeportes.com/efd177/conceptualizacion-del-juego-en-educacion-fisica.htm" TargetMode="External"/><Relationship Id="rId5" Type="http://schemas.openxmlformats.org/officeDocument/2006/relationships/styles" Target="styles.xml"/><Relationship Id="rId19" Type="http://schemas.openxmlformats.org/officeDocument/2006/relationships/hyperlink" Target="http://www.desenvolupa.net/index.php/Ultims-Numeros/Numero-32-2011/La-gesta-corporal-El-cuerpo-en-los-procesos-de-comunicacion-y-aprendizaje-Daniel-Calmels" TargetMode="External"/><Relationship Id="rId6" Type="http://schemas.openxmlformats.org/officeDocument/2006/relationships/image" Target="media/image3.png"/><Relationship Id="rId18" Type="http://schemas.openxmlformats.org/officeDocument/2006/relationships/hyperlink" Target="https://www.efdeportes.com/efd128/importancia-del-desarrollo-del-esquema-corporal.htm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